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100</w:t>
      </w:r>
    </w:p>
    <w:p>
      <w:r>
        <w:t>Bundesgericht (BGE), 1966-03-09, DE</w:t>
      </w:r>
    </w:p>
    <w:p>
      <w:r>
        <w:rPr>
          <w:b/>
        </w:rPr>
        <w:t xml:space="preserve">Quelle: </w:t>
      </w:r>
      <w:r>
        <w:t>https://mcp.opencaselaw.ch/entscheid/bge_92 I 100</w:t>
      </w:r>
    </w:p>
    <w:p>
      <w:r>
        <w:t>FR: ATF 92 I 100</w:t>
      </w:r>
    </w:p>
    <w:p>
      <w:r>
        <w:t>IT: DTF 92 I 100</w:t>
      </w:r>
    </w:p>
    <w:p>
      <w:pPr>
        <w:pStyle w:val="Heading2"/>
      </w:pPr>
      <w:r>
        <w:t>Regeste</w:t>
      </w:r>
    </w:p>
    <w:p>
      <w:r>
        <w:t>Regeste Art. 31 und 4 BV; Taxigewerbe. 1. Die Vorschrift, den Ein- und Austritt seiner Chauffeure der Gewerbepolizei zu melden, stellt eine nach Art. 31 BV zulässige Massnahme gegenüber dem Taxihalter dar. Grundsatz der Verhältnismässigkeit im Hinblick auf diese Meldepflicht. 2. Die polizeiliche Aufsicht über die Taxichauffeure, die weiter geht als die über andere Berufe, hält wegen der besonderen Gefahren des Gewerbes vor Art. 4 BV stand.</w:t>
      </w:r>
    </w:p>
    <w:p>
      <w:pPr>
        <w:pStyle w:val="Heading2"/>
      </w:pPr>
      <w:r>
        <w:t>Erwägungen</w:t>
      </w:r>
    </w:p>
    <w:p>
      <w:r>
        <w:rPr>
          <w:b/>
        </w:rPr>
        <w:t>E. 2</w:t>
      </w:r>
    </w:p>
    <w:p>
      <w:r>
        <w:t>In der Sache selbst rügt der Beschwerdeführer, die in Art. 27 TV aufgestellte Meldepflicht verstosse gegen Art. 31 BV . a) Taxiunternehmen sind Gewerbe im Sinne von Art. 31 BV und geniessen grundsätzlich den Schutz der Handels- und Gewerbefreiheit. Diese Freiheit kann indessen den Beschränkungen unterworfen werden, welche die öffentliche Ordnung und Sicherheit erfordert ( BGE 84 I 110 , BGE 87 I 447 /8). So wurde auch hinsichtlich des Taxigewerbes entschieden ( BGE 79 I 338 ). Wegen der Gefahren, welche der Taxibetrieb für den Strassenverkehr, die Kunden und die Wagenlenker selbst mit sich bringt, stellt die Taxiverordnung der Stadt Zürich besondere Anforderungen bezüglich Fahrtüchtigkeit, Charakter und Ortskenntnis der Taxichauffeure. Die Meldepflicht der Taxiunternehmer, insbesondere hinsichtlich der Verstösse als Entlassungsgrund, BGE 92 I 100 S. 103 dient der Kontrolle, ob diese Voraussetzungen erfüllt sind; sie dient auch dazu, Fahndungen gegen nicht identifizierte Chauffeure zu beschleunigen. Die Ermittlungen werden erheblich erleichtert, wenn die Polizei ein auf den An- und Abmeldungen der Unternehmer fussendes eigenes Register führt. Fehlt ein solches oder ist es nicht nachgeführt, so erheischt die Fahndung mehr Zeit, da sie von der Mitarbeit der Arbeitgeber abhängig ist. Gerade bei Verbrechen mit motorisierten Tätern ist es aber wichtig, dass zwischen der Tat und der Erfassung des Beschuldigten möglichst wenig Zeit vergehe. Daher steht schon die Erleichterung oder Beschleunigung der Fahndung im öffentlichen Interesse und ist daher ein zulässiger polizeilicher Zweck. Das Erfordernis dieser Meldungen kann demzufolge nicht als Schikane bezeichnet werden; es trägt vielmehr zur Sicherheit der Fahrgäste sowie zur Wahrung von Treu und Glauben im Verkehr bei. b) Richtig ist, dass die Einschränkungen der Handels- und Gewerbefreiheit nicht über das hinausgehen dürfen, was erforderlich ist, um den Zweck zu erreichen, durch den sie gedeckt sind ( BGE 88 I 67 Erw. 5). Zwar muss jeder Taxichauffeur, wie der Beschwerdeführer zutreffend vorbringt, einen besondern Ausweis sowie die Kontrollkarte über die Arbeits- und Ruhezeit besitzen und hat überdies eine Fahrtenkontrolle zu führen. Allein diese Ausweise befinden sich im Gewahrsam des Chauffeurs. Sie nützen der Polizei nichts bei der Suche nach einem noch nicht identifizierten Taxilenker. Das gestützt auf die Auskünfte der Unternehmer erstellte Verzeichnis liefert der Polizei dagegen Unterlagen, deren sie sich sogleich bedienen kann. Durch den Hinweis auf Entlassungen wegen Verstössen wird der Gewerbepolizei ermöglicht, Fahrer vom Beruf des Taxilenkers auszuscheiden, die den gesetzlichen Anforderungen nicht mehr genügen und die das mit ihrer Stellung verbundene Vertrauen eingebüsst haben. Die An- und Abmeldung der angestellten Chauffeure bewirkt ihrerseits keine starke Belastung der Betriebsinhaber; eine andere, noch weniger einschneidende Massnahme ist nicht ersichtlich. Unter diesen Umständen ist der Grundsatz der Verhältnismässigkeit durch die Auflage nicht verletzt. Entgegen der Auffassung des Beschwerdeführers hält sich die Meldepflicht der Taxiunternehmer somit im Rahmen der gewerbepolizeilichen Beschränkungen der Handels- und Gewerbefreiheit, die mit Art. 31 BV vereinbar sind. BGE 92 I 100 S. 104</w:t>
      </w:r>
    </w:p>
    <w:p>
      <w:r>
        <w:rPr>
          <w:b/>
        </w:rPr>
        <w:t>E. 3</w:t>
      </w:r>
    </w:p>
    <w:p>
      <w:r>
        <w:t>Als Rüge eines Verstosses gegen Art. 4 BV ist das Vorbringen zu verstehen, dass keinem andern Gewerbe eine entsprechende Pflicht zur Meldung von Personaländerungen auferlegt sei. Zum Vergleich erwähnt der Beschwerdeführer das Baugewerbe mit Einschluss der Sanitärinstallateure und Elektriker, das Gastwirtschafts- und Autotransportgewerbe. Wenn diese Meldepflicht nur für die Taxiführer und nicht auch für Elektriker, Installateure und die Angestellten des Gastwirtschaftsgewerbes aufgestellt ist, so rechtfertigt sich das einerseits durch die besonderen Gefahren im Taxigewerbe und anderseits dadurch, dass die Taxichauffeure auf der Fahrt jeder Aufsicht ihrer Arbeitgeber entzogen sind. Auch aus dem Vergleich mit dem Autotransportgewerbe kann der Beschwerdeführer nichts zu seinen Gunsten ableiten. Da der Fahrgast sich oft dem Taxi allein anvertraut, liefert er seine Person viel stärker der Gewalt des Chauffeurs aus als der Benützer eines mehr oder weniger besetzten Autocars und er ist auch viel mehr an den Wagenlenker gebunden als der Güterspediteur. Diese Unterschiede im Tatbestand vermögen die nachhaltigere Aufsicht zu rechtfertigen, jedenfalls soweit, dass nicht erklärt werden kann, die in Art. 27 TV enthaltene Meldepflicht sei willkürlich, sachlich unhaltbar und verletze Art. 4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